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9E4" w:rsidRPr="005B49E4" w:rsidRDefault="005B49E4" w:rsidP="005B49E4">
      <w:p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color w:val="231F20"/>
          <w:sz w:val="24"/>
          <w:szCs w:val="24"/>
        </w:rPr>
        <w:t xml:space="preserve">In </w:t>
      </w:r>
      <w:r w:rsidRPr="005B49E4">
        <w:rPr>
          <w:rFonts w:ascii="Arial" w:hAnsi="Arial" w:cs="Arial"/>
          <w:b/>
          <w:color w:val="231F20"/>
          <w:sz w:val="24"/>
          <w:szCs w:val="24"/>
        </w:rPr>
        <w:t>section 139</w:t>
      </w:r>
      <w:r w:rsidRPr="005B49E4">
        <w:rPr>
          <w:rFonts w:ascii="Arial" w:hAnsi="Arial" w:cs="Arial"/>
          <w:color w:val="231F20"/>
          <w:sz w:val="24"/>
          <w:szCs w:val="24"/>
        </w:rPr>
        <w:t xml:space="preserve"> of the Income-tax Act, with effect from the 1st day of April, 2015,––</w:t>
      </w:r>
    </w:p>
    <w:p w:rsidR="005B49E4" w:rsidRPr="005B49E4" w:rsidRDefault="005B49E4" w:rsidP="005B49E4">
      <w:p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color w:val="231F20"/>
          <w:sz w:val="24"/>
          <w:szCs w:val="24"/>
        </w:rPr>
        <w:t>(</w:t>
      </w:r>
      <w:r w:rsidRPr="005B49E4">
        <w:rPr>
          <w:rFonts w:ascii="Arial" w:hAnsi="Arial" w:cs="Arial"/>
          <w:i/>
          <w:iCs/>
          <w:color w:val="231F20"/>
          <w:sz w:val="24"/>
          <w:szCs w:val="24"/>
        </w:rPr>
        <w:t>a</w:t>
      </w:r>
      <w:r w:rsidRPr="005B49E4">
        <w:rPr>
          <w:rFonts w:ascii="Arial" w:hAnsi="Arial" w:cs="Arial"/>
          <w:color w:val="231F20"/>
          <w:sz w:val="24"/>
          <w:szCs w:val="24"/>
        </w:rPr>
        <w:t xml:space="preserve">) </w:t>
      </w:r>
      <w:proofErr w:type="gramStart"/>
      <w:r w:rsidRPr="005B49E4">
        <w:rPr>
          <w:rFonts w:ascii="Arial" w:hAnsi="Arial" w:cs="Arial"/>
          <w:color w:val="231F20"/>
          <w:sz w:val="24"/>
          <w:szCs w:val="24"/>
        </w:rPr>
        <w:t>in</w:t>
      </w:r>
      <w:proofErr w:type="gramEnd"/>
      <w:r w:rsidRPr="005B49E4">
        <w:rPr>
          <w:rFonts w:ascii="Arial" w:hAnsi="Arial" w:cs="Arial"/>
          <w:color w:val="231F20"/>
          <w:sz w:val="24"/>
          <w:szCs w:val="24"/>
        </w:rPr>
        <w:t xml:space="preserve"> sub-section </w:t>
      </w:r>
      <w:r w:rsidRPr="005B49E4">
        <w:rPr>
          <w:rFonts w:ascii="Arial" w:hAnsi="Arial" w:cs="Arial"/>
          <w:b/>
          <w:color w:val="231F20"/>
          <w:sz w:val="24"/>
          <w:szCs w:val="24"/>
        </w:rPr>
        <w:t>(</w:t>
      </w:r>
      <w:r w:rsidRPr="005B49E4">
        <w:rPr>
          <w:rFonts w:ascii="Arial" w:hAnsi="Arial" w:cs="Arial"/>
          <w:b/>
          <w:i/>
          <w:iCs/>
          <w:color w:val="231F20"/>
          <w:sz w:val="24"/>
          <w:szCs w:val="24"/>
        </w:rPr>
        <w:t>4C</w:t>
      </w:r>
      <w:r w:rsidRPr="005B49E4">
        <w:rPr>
          <w:rFonts w:ascii="Arial" w:hAnsi="Arial" w:cs="Arial"/>
          <w:b/>
          <w:color w:val="231F20"/>
          <w:sz w:val="24"/>
          <w:szCs w:val="24"/>
        </w:rPr>
        <w:t>)</w:t>
      </w:r>
      <w:r w:rsidRPr="005B49E4">
        <w:rPr>
          <w:rFonts w:ascii="Arial" w:hAnsi="Arial" w:cs="Arial"/>
          <w:color w:val="231F20"/>
          <w:sz w:val="24"/>
          <w:szCs w:val="24"/>
        </w:rPr>
        <w:t>,––</w:t>
      </w:r>
    </w:p>
    <w:p w:rsidR="005B49E4" w:rsidRPr="005B49E4" w:rsidRDefault="005B49E4" w:rsidP="005B49E4">
      <w:pPr>
        <w:pStyle w:val="ListParagraph"/>
        <w:numPr>
          <w:ilvl w:val="0"/>
          <w:numId w:val="1"/>
        </w:num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color w:val="231F20"/>
          <w:sz w:val="24"/>
          <w:szCs w:val="24"/>
        </w:rPr>
        <w:t>after clause (</w:t>
      </w:r>
      <w:r w:rsidRPr="005B49E4">
        <w:rPr>
          <w:rFonts w:ascii="Arial" w:hAnsi="Arial" w:cs="Arial"/>
          <w:i/>
          <w:iCs/>
          <w:color w:val="231F20"/>
          <w:sz w:val="24"/>
          <w:szCs w:val="24"/>
        </w:rPr>
        <w:t>e</w:t>
      </w:r>
      <w:r w:rsidRPr="005B49E4">
        <w:rPr>
          <w:rFonts w:ascii="Arial" w:hAnsi="Arial" w:cs="Arial"/>
          <w:color w:val="231F20"/>
          <w:sz w:val="24"/>
          <w:szCs w:val="24"/>
        </w:rPr>
        <w:t>), the following clauses shall be inserted, namely:––</w:t>
      </w:r>
    </w:p>
    <w:p w:rsidR="005B49E4" w:rsidRPr="005B49E4" w:rsidRDefault="005B49E4" w:rsidP="005B49E4">
      <w:pPr>
        <w:pStyle w:val="ListParagraph"/>
        <w:numPr>
          <w:ilvl w:val="0"/>
          <w:numId w:val="2"/>
        </w:num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color w:val="231F20"/>
          <w:sz w:val="24"/>
          <w:szCs w:val="24"/>
        </w:rPr>
        <w:t>“</w:t>
      </w:r>
      <w:r w:rsidRPr="005B49E4">
        <w:rPr>
          <w:rFonts w:ascii="Arial" w:hAnsi="Arial" w:cs="Arial"/>
          <w:b/>
          <w:color w:val="231F20"/>
          <w:sz w:val="24"/>
          <w:szCs w:val="24"/>
        </w:rPr>
        <w:t>(</w:t>
      </w:r>
      <w:r w:rsidRPr="005B49E4">
        <w:rPr>
          <w:rFonts w:ascii="Arial" w:hAnsi="Arial" w:cs="Arial"/>
          <w:b/>
          <w:i/>
          <w:iCs/>
          <w:color w:val="231F20"/>
          <w:sz w:val="24"/>
          <w:szCs w:val="24"/>
        </w:rPr>
        <w:t>ea</w:t>
      </w:r>
      <w:r w:rsidRPr="005B49E4">
        <w:rPr>
          <w:rFonts w:ascii="Arial" w:hAnsi="Arial" w:cs="Arial"/>
          <w:b/>
          <w:color w:val="231F20"/>
          <w:sz w:val="24"/>
          <w:szCs w:val="24"/>
        </w:rPr>
        <w:t>)</w:t>
      </w:r>
      <w:r w:rsidRPr="005B49E4">
        <w:rPr>
          <w:rFonts w:ascii="Arial" w:hAnsi="Arial" w:cs="Arial"/>
          <w:color w:val="231F20"/>
          <w:sz w:val="24"/>
          <w:szCs w:val="24"/>
        </w:rPr>
        <w:t xml:space="preserve"> Mutual Fund referred to in </w:t>
      </w:r>
      <w:r w:rsidRPr="005B49E4">
        <w:rPr>
          <w:rFonts w:ascii="Arial" w:hAnsi="Arial" w:cs="Arial"/>
          <w:color w:val="231F20"/>
          <w:sz w:val="24"/>
          <w:szCs w:val="24"/>
          <w:u w:val="single"/>
        </w:rPr>
        <w:t>clause (</w:t>
      </w:r>
      <w:r w:rsidRPr="005B49E4">
        <w:rPr>
          <w:rFonts w:ascii="Arial" w:hAnsi="Arial" w:cs="Arial"/>
          <w:i/>
          <w:iCs/>
          <w:color w:val="231F20"/>
          <w:sz w:val="24"/>
          <w:szCs w:val="24"/>
          <w:u w:val="single"/>
        </w:rPr>
        <w:t>23D</w:t>
      </w:r>
      <w:r w:rsidRPr="005B49E4">
        <w:rPr>
          <w:rFonts w:ascii="Arial" w:hAnsi="Arial" w:cs="Arial"/>
          <w:color w:val="231F20"/>
          <w:sz w:val="24"/>
          <w:szCs w:val="24"/>
          <w:u w:val="single"/>
        </w:rPr>
        <w:t>)</w:t>
      </w:r>
      <w:r w:rsidRPr="005B49E4">
        <w:rPr>
          <w:rFonts w:ascii="Arial" w:hAnsi="Arial" w:cs="Arial"/>
          <w:color w:val="231F20"/>
          <w:sz w:val="24"/>
          <w:szCs w:val="24"/>
        </w:rPr>
        <w:t xml:space="preserve"> of section 10;</w:t>
      </w:r>
    </w:p>
    <w:p w:rsidR="005B49E4" w:rsidRPr="005B49E4" w:rsidRDefault="005B49E4" w:rsidP="005B49E4">
      <w:pPr>
        <w:pStyle w:val="ListParagraph"/>
        <w:numPr>
          <w:ilvl w:val="0"/>
          <w:numId w:val="2"/>
        </w:num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b/>
          <w:color w:val="231F20"/>
          <w:sz w:val="24"/>
          <w:szCs w:val="24"/>
        </w:rPr>
        <w:t>(</w:t>
      </w:r>
      <w:proofErr w:type="spellStart"/>
      <w:r w:rsidRPr="005B49E4">
        <w:rPr>
          <w:rFonts w:ascii="Arial" w:hAnsi="Arial" w:cs="Arial"/>
          <w:b/>
          <w:i/>
          <w:iCs/>
          <w:color w:val="231F20"/>
          <w:sz w:val="24"/>
          <w:szCs w:val="24"/>
        </w:rPr>
        <w:t>eb</w:t>
      </w:r>
      <w:proofErr w:type="spellEnd"/>
      <w:r w:rsidRPr="005B49E4">
        <w:rPr>
          <w:rFonts w:ascii="Arial" w:hAnsi="Arial" w:cs="Arial"/>
          <w:b/>
          <w:color w:val="231F20"/>
          <w:sz w:val="24"/>
          <w:szCs w:val="24"/>
        </w:rPr>
        <w:t>)</w:t>
      </w:r>
      <w:r w:rsidRPr="005B49E4">
        <w:rPr>
          <w:rFonts w:ascii="Arial" w:hAnsi="Arial" w:cs="Arial"/>
          <w:color w:val="231F20"/>
          <w:sz w:val="24"/>
          <w:szCs w:val="24"/>
        </w:rPr>
        <w:t xml:space="preserve"> </w:t>
      </w:r>
      <w:proofErr w:type="spellStart"/>
      <w:r w:rsidRPr="005B49E4">
        <w:rPr>
          <w:rFonts w:ascii="Arial" w:hAnsi="Arial" w:cs="Arial"/>
          <w:color w:val="231F20"/>
          <w:sz w:val="24"/>
          <w:szCs w:val="24"/>
        </w:rPr>
        <w:t>securitisation</w:t>
      </w:r>
      <w:proofErr w:type="spellEnd"/>
      <w:r w:rsidRPr="005B49E4">
        <w:rPr>
          <w:rFonts w:ascii="Arial" w:hAnsi="Arial" w:cs="Arial"/>
          <w:color w:val="231F20"/>
          <w:sz w:val="24"/>
          <w:szCs w:val="24"/>
        </w:rPr>
        <w:t xml:space="preserve"> trust referred to in </w:t>
      </w:r>
      <w:r w:rsidRPr="005B49E4">
        <w:rPr>
          <w:rFonts w:ascii="Arial" w:hAnsi="Arial" w:cs="Arial"/>
          <w:color w:val="231F20"/>
          <w:sz w:val="24"/>
          <w:szCs w:val="24"/>
          <w:u w:val="single"/>
        </w:rPr>
        <w:t>clause (</w:t>
      </w:r>
      <w:r w:rsidRPr="005B49E4">
        <w:rPr>
          <w:rFonts w:ascii="Arial" w:hAnsi="Arial" w:cs="Arial"/>
          <w:i/>
          <w:iCs/>
          <w:color w:val="231F20"/>
          <w:sz w:val="24"/>
          <w:szCs w:val="24"/>
          <w:u w:val="single"/>
        </w:rPr>
        <w:t>23DA</w:t>
      </w:r>
      <w:r w:rsidRPr="005B49E4">
        <w:rPr>
          <w:rFonts w:ascii="Arial" w:hAnsi="Arial" w:cs="Arial"/>
          <w:color w:val="231F20"/>
          <w:sz w:val="24"/>
          <w:szCs w:val="24"/>
          <w:u w:val="single"/>
        </w:rPr>
        <w:t>)</w:t>
      </w:r>
      <w:r w:rsidRPr="005B49E4">
        <w:rPr>
          <w:rFonts w:ascii="Arial" w:hAnsi="Arial" w:cs="Arial"/>
          <w:color w:val="231F20"/>
          <w:sz w:val="24"/>
          <w:szCs w:val="24"/>
        </w:rPr>
        <w:t xml:space="preserve"> of section 10;</w:t>
      </w:r>
    </w:p>
    <w:p w:rsidR="005B49E4" w:rsidRPr="005B49E4" w:rsidRDefault="005B49E4" w:rsidP="005B49E4">
      <w:pPr>
        <w:pStyle w:val="ListParagraph"/>
        <w:numPr>
          <w:ilvl w:val="0"/>
          <w:numId w:val="2"/>
        </w:num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b/>
          <w:color w:val="231F20"/>
          <w:sz w:val="24"/>
          <w:szCs w:val="24"/>
        </w:rPr>
        <w:t>(</w:t>
      </w:r>
      <w:proofErr w:type="spellStart"/>
      <w:r w:rsidRPr="005B49E4">
        <w:rPr>
          <w:rFonts w:ascii="Arial" w:hAnsi="Arial" w:cs="Arial"/>
          <w:b/>
          <w:i/>
          <w:iCs/>
          <w:color w:val="231F20"/>
          <w:sz w:val="24"/>
          <w:szCs w:val="24"/>
        </w:rPr>
        <w:t>ec</w:t>
      </w:r>
      <w:proofErr w:type="spellEnd"/>
      <w:r w:rsidRPr="005B49E4">
        <w:rPr>
          <w:rFonts w:ascii="Arial" w:hAnsi="Arial" w:cs="Arial"/>
          <w:b/>
          <w:color w:val="231F20"/>
          <w:sz w:val="24"/>
          <w:szCs w:val="24"/>
        </w:rPr>
        <w:t>)</w:t>
      </w:r>
      <w:r w:rsidRPr="005B49E4">
        <w:rPr>
          <w:rFonts w:ascii="Arial" w:hAnsi="Arial" w:cs="Arial"/>
          <w:color w:val="231F20"/>
          <w:sz w:val="24"/>
          <w:szCs w:val="24"/>
        </w:rPr>
        <w:t xml:space="preserve"> venture capital company or venture capital fund referred to in </w:t>
      </w:r>
      <w:r w:rsidRPr="005B49E4">
        <w:rPr>
          <w:rFonts w:ascii="Arial" w:hAnsi="Arial" w:cs="Arial"/>
          <w:color w:val="231F20"/>
          <w:sz w:val="24"/>
          <w:szCs w:val="24"/>
          <w:u w:val="single"/>
        </w:rPr>
        <w:t>clause (</w:t>
      </w:r>
      <w:r w:rsidRPr="005B49E4">
        <w:rPr>
          <w:rFonts w:ascii="Arial" w:hAnsi="Arial" w:cs="Arial"/>
          <w:i/>
          <w:iCs/>
          <w:color w:val="231F20"/>
          <w:sz w:val="24"/>
          <w:szCs w:val="24"/>
          <w:u w:val="single"/>
        </w:rPr>
        <w:t>23FB</w:t>
      </w:r>
      <w:r w:rsidRPr="005B49E4">
        <w:rPr>
          <w:rFonts w:ascii="Arial" w:hAnsi="Arial" w:cs="Arial"/>
          <w:color w:val="231F20"/>
          <w:sz w:val="24"/>
          <w:szCs w:val="24"/>
          <w:u w:val="single"/>
        </w:rPr>
        <w:t>)</w:t>
      </w:r>
      <w:r w:rsidRPr="005B49E4">
        <w:rPr>
          <w:rFonts w:ascii="Arial" w:hAnsi="Arial" w:cs="Arial"/>
          <w:color w:val="231F20"/>
          <w:sz w:val="24"/>
          <w:szCs w:val="24"/>
        </w:rPr>
        <w:t xml:space="preserve"> of</w:t>
      </w:r>
      <w:r>
        <w:rPr>
          <w:rFonts w:ascii="Arial" w:hAnsi="Arial" w:cs="Arial"/>
          <w:color w:val="231F20"/>
          <w:sz w:val="24"/>
          <w:szCs w:val="24"/>
        </w:rPr>
        <w:t xml:space="preserve"> </w:t>
      </w:r>
      <w:r w:rsidRPr="005B49E4">
        <w:rPr>
          <w:rFonts w:ascii="Arial" w:hAnsi="Arial" w:cs="Arial"/>
          <w:color w:val="231F20"/>
          <w:sz w:val="24"/>
          <w:szCs w:val="24"/>
        </w:rPr>
        <w:t>section 10;”;</w:t>
      </w:r>
    </w:p>
    <w:p w:rsidR="005B49E4" w:rsidRPr="005B49E4" w:rsidRDefault="005B49E4" w:rsidP="005B49E4">
      <w:pPr>
        <w:pStyle w:val="ListParagraph"/>
        <w:numPr>
          <w:ilvl w:val="0"/>
          <w:numId w:val="1"/>
        </w:num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color w:val="231F20"/>
          <w:sz w:val="24"/>
          <w:szCs w:val="24"/>
        </w:rPr>
        <w:t xml:space="preserve">after the words “or infrastructure debt fund”, the words “or </w:t>
      </w:r>
      <w:r w:rsidRPr="005B49E4">
        <w:rPr>
          <w:rFonts w:ascii="Arial" w:hAnsi="Arial" w:cs="Arial"/>
          <w:b/>
          <w:color w:val="231F20"/>
          <w:sz w:val="24"/>
          <w:szCs w:val="24"/>
        </w:rPr>
        <w:t>Mutual Fund</w:t>
      </w:r>
      <w:r w:rsidRPr="005B49E4">
        <w:rPr>
          <w:rFonts w:ascii="Arial" w:hAnsi="Arial" w:cs="Arial"/>
          <w:color w:val="231F20"/>
          <w:sz w:val="24"/>
          <w:szCs w:val="24"/>
        </w:rPr>
        <w:t xml:space="preserve"> or </w:t>
      </w:r>
      <w:r w:rsidRPr="005B49E4">
        <w:rPr>
          <w:rFonts w:ascii="Arial" w:hAnsi="Arial" w:cs="Arial"/>
          <w:b/>
          <w:color w:val="231F20"/>
          <w:sz w:val="24"/>
          <w:szCs w:val="24"/>
        </w:rPr>
        <w:t>securitization trust</w:t>
      </w:r>
      <w:r w:rsidRPr="005B49E4">
        <w:rPr>
          <w:rFonts w:ascii="Arial" w:hAnsi="Arial" w:cs="Arial"/>
          <w:color w:val="231F20"/>
          <w:sz w:val="24"/>
          <w:szCs w:val="24"/>
        </w:rPr>
        <w:t xml:space="preserve"> or </w:t>
      </w:r>
      <w:r w:rsidRPr="005B49E4">
        <w:rPr>
          <w:rFonts w:ascii="Arial" w:hAnsi="Arial" w:cs="Arial"/>
          <w:b/>
          <w:color w:val="231F20"/>
          <w:sz w:val="24"/>
          <w:szCs w:val="24"/>
        </w:rPr>
        <w:t>venture capital company</w:t>
      </w:r>
      <w:r w:rsidRPr="005B49E4">
        <w:rPr>
          <w:rFonts w:ascii="Arial" w:hAnsi="Arial" w:cs="Arial"/>
          <w:color w:val="231F20"/>
          <w:sz w:val="24"/>
          <w:szCs w:val="24"/>
        </w:rPr>
        <w:t xml:space="preserve"> or </w:t>
      </w:r>
      <w:r w:rsidRPr="005B49E4">
        <w:rPr>
          <w:rFonts w:ascii="Arial" w:hAnsi="Arial" w:cs="Arial"/>
          <w:b/>
          <w:color w:val="231F20"/>
          <w:sz w:val="24"/>
          <w:szCs w:val="24"/>
        </w:rPr>
        <w:t>venture capital fund</w:t>
      </w:r>
      <w:r w:rsidRPr="005B49E4">
        <w:rPr>
          <w:rFonts w:ascii="Arial" w:hAnsi="Arial" w:cs="Arial"/>
          <w:color w:val="231F20"/>
          <w:sz w:val="24"/>
          <w:szCs w:val="24"/>
        </w:rPr>
        <w:t>” shall be inserted;</w:t>
      </w:r>
    </w:p>
    <w:p w:rsidR="005B49E4" w:rsidRDefault="005B49E4" w:rsidP="005B49E4">
      <w:pPr>
        <w:autoSpaceDE w:val="0"/>
        <w:autoSpaceDN w:val="0"/>
        <w:adjustRightInd w:val="0"/>
        <w:spacing w:after="0" w:line="240" w:lineRule="auto"/>
        <w:jc w:val="both"/>
        <w:rPr>
          <w:rFonts w:ascii="Arial" w:hAnsi="Arial" w:cs="Arial"/>
          <w:color w:val="231F20"/>
          <w:sz w:val="24"/>
          <w:szCs w:val="24"/>
        </w:rPr>
      </w:pPr>
    </w:p>
    <w:p w:rsidR="005B49E4" w:rsidRPr="005B49E4" w:rsidRDefault="005B49E4" w:rsidP="005B49E4">
      <w:pPr>
        <w:autoSpaceDE w:val="0"/>
        <w:autoSpaceDN w:val="0"/>
        <w:adjustRightInd w:val="0"/>
        <w:spacing w:after="0" w:line="240" w:lineRule="auto"/>
        <w:jc w:val="both"/>
        <w:rPr>
          <w:rFonts w:ascii="Arial" w:hAnsi="Arial" w:cs="Arial"/>
          <w:color w:val="231F20"/>
          <w:sz w:val="24"/>
          <w:szCs w:val="24"/>
        </w:rPr>
      </w:pPr>
      <w:r w:rsidRPr="005B49E4">
        <w:rPr>
          <w:rFonts w:ascii="Arial" w:hAnsi="Arial" w:cs="Arial"/>
          <w:color w:val="231F20"/>
          <w:sz w:val="24"/>
          <w:szCs w:val="24"/>
        </w:rPr>
        <w:t>(</w:t>
      </w:r>
      <w:r w:rsidRPr="005B49E4">
        <w:rPr>
          <w:rFonts w:ascii="Arial" w:hAnsi="Arial" w:cs="Arial"/>
          <w:i/>
          <w:iCs/>
          <w:color w:val="231F20"/>
          <w:sz w:val="24"/>
          <w:szCs w:val="24"/>
        </w:rPr>
        <w:t>b</w:t>
      </w:r>
      <w:r w:rsidRPr="005B49E4">
        <w:rPr>
          <w:rFonts w:ascii="Arial" w:hAnsi="Arial" w:cs="Arial"/>
          <w:color w:val="231F20"/>
          <w:sz w:val="24"/>
          <w:szCs w:val="24"/>
        </w:rPr>
        <w:t xml:space="preserve">) </w:t>
      </w:r>
      <w:proofErr w:type="gramStart"/>
      <w:r w:rsidRPr="005B49E4">
        <w:rPr>
          <w:rFonts w:ascii="Arial" w:hAnsi="Arial" w:cs="Arial"/>
          <w:color w:val="231F20"/>
          <w:sz w:val="24"/>
          <w:szCs w:val="24"/>
        </w:rPr>
        <w:t>after</w:t>
      </w:r>
      <w:proofErr w:type="gramEnd"/>
      <w:r w:rsidRPr="005B49E4">
        <w:rPr>
          <w:rFonts w:ascii="Arial" w:hAnsi="Arial" w:cs="Arial"/>
          <w:color w:val="231F20"/>
          <w:sz w:val="24"/>
          <w:szCs w:val="24"/>
        </w:rPr>
        <w:t xml:space="preserve"> sub-section (</w:t>
      </w:r>
      <w:r w:rsidRPr="005B49E4">
        <w:rPr>
          <w:rFonts w:ascii="Arial" w:hAnsi="Arial" w:cs="Arial"/>
          <w:i/>
          <w:iCs/>
          <w:color w:val="231F20"/>
          <w:sz w:val="24"/>
          <w:szCs w:val="24"/>
        </w:rPr>
        <w:t>4D</w:t>
      </w:r>
      <w:r w:rsidRPr="005B49E4">
        <w:rPr>
          <w:rFonts w:ascii="Arial" w:hAnsi="Arial" w:cs="Arial"/>
          <w:color w:val="231F20"/>
          <w:sz w:val="24"/>
          <w:szCs w:val="24"/>
        </w:rPr>
        <w:t>), the following sub-section shall be inserted, namely:––</w:t>
      </w:r>
    </w:p>
    <w:p w:rsidR="005015BD" w:rsidRDefault="005B49E4" w:rsidP="00E03DE2">
      <w:pPr>
        <w:pStyle w:val="ListParagraph"/>
        <w:numPr>
          <w:ilvl w:val="0"/>
          <w:numId w:val="3"/>
        </w:numPr>
        <w:autoSpaceDE w:val="0"/>
        <w:autoSpaceDN w:val="0"/>
        <w:adjustRightInd w:val="0"/>
        <w:spacing w:after="0" w:line="240" w:lineRule="auto"/>
        <w:jc w:val="both"/>
        <w:rPr>
          <w:rFonts w:ascii="Arial" w:hAnsi="Arial" w:cs="Arial"/>
          <w:color w:val="231F20"/>
          <w:sz w:val="24"/>
          <w:szCs w:val="24"/>
        </w:rPr>
      </w:pPr>
      <w:r w:rsidRPr="00E03DE2">
        <w:rPr>
          <w:rFonts w:ascii="Arial" w:hAnsi="Arial" w:cs="Arial"/>
          <w:color w:val="231F20"/>
          <w:sz w:val="24"/>
          <w:szCs w:val="24"/>
        </w:rPr>
        <w:t>“</w:t>
      </w:r>
      <w:r w:rsidRPr="00E03DE2">
        <w:rPr>
          <w:rFonts w:ascii="Arial" w:hAnsi="Arial" w:cs="Arial"/>
          <w:b/>
          <w:color w:val="231F20"/>
          <w:sz w:val="24"/>
          <w:szCs w:val="24"/>
        </w:rPr>
        <w:t>(</w:t>
      </w:r>
      <w:r w:rsidRPr="00E03DE2">
        <w:rPr>
          <w:rFonts w:ascii="Arial" w:hAnsi="Arial" w:cs="Arial"/>
          <w:b/>
          <w:i/>
          <w:iCs/>
          <w:color w:val="231F20"/>
          <w:sz w:val="24"/>
          <w:szCs w:val="24"/>
        </w:rPr>
        <w:t>4E</w:t>
      </w:r>
      <w:r w:rsidRPr="00E03DE2">
        <w:rPr>
          <w:rFonts w:ascii="Arial" w:hAnsi="Arial" w:cs="Arial"/>
          <w:b/>
          <w:color w:val="231F20"/>
          <w:sz w:val="24"/>
          <w:szCs w:val="24"/>
        </w:rPr>
        <w:t>)</w:t>
      </w:r>
      <w:r w:rsidRPr="00E03DE2">
        <w:rPr>
          <w:rFonts w:ascii="Arial" w:hAnsi="Arial" w:cs="Arial"/>
          <w:color w:val="231F20"/>
          <w:sz w:val="24"/>
          <w:szCs w:val="24"/>
        </w:rPr>
        <w:t xml:space="preserve"> Every </w:t>
      </w:r>
      <w:r w:rsidRPr="00E03DE2">
        <w:rPr>
          <w:rFonts w:ascii="Arial" w:hAnsi="Arial" w:cs="Arial"/>
          <w:b/>
          <w:color w:val="231F20"/>
          <w:sz w:val="24"/>
          <w:szCs w:val="24"/>
        </w:rPr>
        <w:t>business trust</w:t>
      </w:r>
      <w:r w:rsidRPr="00E03DE2">
        <w:rPr>
          <w:rFonts w:ascii="Arial" w:hAnsi="Arial" w:cs="Arial"/>
          <w:color w:val="231F20"/>
          <w:sz w:val="24"/>
          <w:szCs w:val="24"/>
        </w:rPr>
        <w:t xml:space="preserve">, which is not required to furnish return of income or loss under any other provisions of this section, shall </w:t>
      </w:r>
      <w:r w:rsidRPr="00E03DE2">
        <w:rPr>
          <w:rFonts w:ascii="Arial" w:hAnsi="Arial" w:cs="Arial"/>
          <w:b/>
          <w:color w:val="231F20"/>
          <w:sz w:val="24"/>
          <w:szCs w:val="24"/>
        </w:rPr>
        <w:t>furnish the return</w:t>
      </w:r>
      <w:r w:rsidRPr="00E03DE2">
        <w:rPr>
          <w:rFonts w:ascii="Arial" w:hAnsi="Arial" w:cs="Arial"/>
          <w:color w:val="231F20"/>
          <w:sz w:val="24"/>
          <w:szCs w:val="24"/>
        </w:rPr>
        <w:t xml:space="preserve"> of its income in respect of its income or loss in every previous year and all the provisions of this Act shall, so far as may be, apply if it were a return required to be furnished </w:t>
      </w:r>
      <w:r w:rsidRPr="00E03DE2">
        <w:rPr>
          <w:rFonts w:ascii="Arial" w:hAnsi="Arial" w:cs="Arial"/>
          <w:b/>
          <w:color w:val="231F20"/>
          <w:sz w:val="24"/>
          <w:szCs w:val="24"/>
        </w:rPr>
        <w:t>under sub-section (</w:t>
      </w:r>
      <w:r w:rsidRPr="00E03DE2">
        <w:rPr>
          <w:rFonts w:ascii="Arial" w:hAnsi="Arial" w:cs="Arial"/>
          <w:b/>
          <w:i/>
          <w:iCs/>
          <w:color w:val="231F20"/>
          <w:sz w:val="24"/>
          <w:szCs w:val="24"/>
        </w:rPr>
        <w:t>1</w:t>
      </w:r>
      <w:r w:rsidRPr="00E03DE2">
        <w:rPr>
          <w:rFonts w:ascii="Arial" w:hAnsi="Arial" w:cs="Arial"/>
          <w:b/>
          <w:color w:val="231F20"/>
          <w:sz w:val="24"/>
          <w:szCs w:val="24"/>
        </w:rPr>
        <w:t>).</w:t>
      </w:r>
      <w:r w:rsidRPr="00E03DE2">
        <w:rPr>
          <w:rFonts w:ascii="Arial" w:hAnsi="Arial" w:cs="Arial"/>
          <w:color w:val="231F20"/>
          <w:sz w:val="24"/>
          <w:szCs w:val="24"/>
        </w:rPr>
        <w:t>”.</w:t>
      </w:r>
    </w:p>
    <w:p w:rsidR="00E03DE2" w:rsidRDefault="00E03DE2" w:rsidP="00E03DE2">
      <w:pPr>
        <w:autoSpaceDE w:val="0"/>
        <w:autoSpaceDN w:val="0"/>
        <w:adjustRightInd w:val="0"/>
        <w:spacing w:after="0" w:line="240" w:lineRule="auto"/>
        <w:jc w:val="both"/>
        <w:rPr>
          <w:rFonts w:ascii="Arial" w:hAnsi="Arial" w:cs="Arial"/>
          <w:color w:val="231F20"/>
          <w:sz w:val="24"/>
          <w:szCs w:val="24"/>
        </w:rPr>
      </w:pPr>
    </w:p>
    <w:p w:rsidR="00E03DE2" w:rsidRDefault="00E03DE2" w:rsidP="00E03DE2">
      <w:pPr>
        <w:pBdr>
          <w:bottom w:val="single" w:sz="4" w:space="1" w:color="auto"/>
        </w:pBdr>
        <w:autoSpaceDE w:val="0"/>
        <w:autoSpaceDN w:val="0"/>
        <w:adjustRightInd w:val="0"/>
        <w:spacing w:after="0" w:line="240" w:lineRule="auto"/>
        <w:jc w:val="both"/>
        <w:rPr>
          <w:rFonts w:ascii="Arial" w:hAnsi="Arial" w:cs="Arial"/>
          <w:color w:val="231F20"/>
          <w:sz w:val="24"/>
          <w:szCs w:val="24"/>
        </w:rPr>
      </w:pPr>
    </w:p>
    <w:p w:rsidR="00E03DE2" w:rsidRDefault="00E03DE2" w:rsidP="00E03DE2">
      <w:pPr>
        <w:pStyle w:val="NormalWeb"/>
        <w:jc w:val="center"/>
      </w:pPr>
      <w:r>
        <w:rPr>
          <w:rStyle w:val="Strong"/>
        </w:rPr>
        <w:t xml:space="preserve">Mutual Funds, </w:t>
      </w:r>
      <w:proofErr w:type="spellStart"/>
      <w:r>
        <w:rPr>
          <w:rStyle w:val="Strong"/>
        </w:rPr>
        <w:t>Securitisation</w:t>
      </w:r>
      <w:proofErr w:type="spellEnd"/>
      <w:r>
        <w:rPr>
          <w:rStyle w:val="Strong"/>
        </w:rPr>
        <w:t xml:space="preserve"> Trusts and Venture Capital Companies or Venture Capital Funds to file return of income</w:t>
      </w:r>
    </w:p>
    <w:p w:rsidR="00E03DE2" w:rsidRPr="00E03DE2" w:rsidRDefault="00E03DE2" w:rsidP="00E03DE2">
      <w:pPr>
        <w:pStyle w:val="NormalWeb"/>
        <w:jc w:val="both"/>
        <w:rPr>
          <w:rFonts w:ascii="Arial" w:hAnsi="Arial" w:cs="Arial"/>
        </w:rPr>
      </w:pPr>
      <w:r w:rsidRPr="00E03DE2">
        <w:rPr>
          <w:rFonts w:ascii="Arial" w:hAnsi="Arial" w:cs="Arial"/>
        </w:rPr>
        <w:t>The existing provisions contained in section 139 of the Act provide that every person being a company or a firm or being a person, other than a company or firm, if his total income or the total income of any other person in respect of which he is assessable under this Act during the previous year exceeds the maximum amount which is not chargeable to income-tax, shall furnish a return of his income or the income of such other person during the previous year, in the prescribed form and verified in the prescribed manner and setting forth such other particulars as may be prescribed. Apart from the above, certain other entities, who are not chargeable to income-tax in accordance with the provisions of section 10, are obligated to file their return of income if their total income without giving effect to the provisions of section 10, exceeds the maximum amount which is not chargeable to income-tax.</w:t>
      </w:r>
    </w:p>
    <w:p w:rsidR="00E03DE2" w:rsidRPr="00E03DE2" w:rsidRDefault="00E03DE2" w:rsidP="00E03DE2">
      <w:pPr>
        <w:pStyle w:val="NormalWeb"/>
        <w:jc w:val="both"/>
        <w:rPr>
          <w:rFonts w:ascii="Arial" w:hAnsi="Arial" w:cs="Arial"/>
        </w:rPr>
      </w:pPr>
      <w:r w:rsidRPr="00E03DE2">
        <w:rPr>
          <w:rFonts w:ascii="Arial" w:hAnsi="Arial" w:cs="Arial"/>
        </w:rPr>
        <w:t xml:space="preserve">     Clause (23D) of section 10 exempts the income of a Mutual Fund, clause (23DA) of section 10 exempts the income of a </w:t>
      </w:r>
      <w:proofErr w:type="spellStart"/>
      <w:r w:rsidRPr="00E03DE2">
        <w:rPr>
          <w:rFonts w:ascii="Arial" w:hAnsi="Arial" w:cs="Arial"/>
        </w:rPr>
        <w:t>securitisation</w:t>
      </w:r>
      <w:proofErr w:type="spellEnd"/>
      <w:r w:rsidRPr="00E03DE2">
        <w:rPr>
          <w:rFonts w:ascii="Arial" w:hAnsi="Arial" w:cs="Arial"/>
        </w:rPr>
        <w:t xml:space="preserve"> trust from the activity of </w:t>
      </w:r>
      <w:proofErr w:type="spellStart"/>
      <w:r w:rsidRPr="00E03DE2">
        <w:rPr>
          <w:rFonts w:ascii="Arial" w:hAnsi="Arial" w:cs="Arial"/>
        </w:rPr>
        <w:t>securitisation</w:t>
      </w:r>
      <w:proofErr w:type="spellEnd"/>
      <w:r w:rsidRPr="00E03DE2">
        <w:rPr>
          <w:rFonts w:ascii="Arial" w:hAnsi="Arial" w:cs="Arial"/>
        </w:rPr>
        <w:t xml:space="preserve"> and clause (23FB) of section 10 exempts the income of a venture capital company (VCC) or venture capital fund (VCF) from investment in a venture capital undertaking. The Mutual Fund or securitization trust or VCC or VCF are not obligated to furnish their return of income under section 139 of the Act. Instead they are required to furnish a statement giving details of the nature of the income paid or credited during the previous year and such other relevant details as may be prescribed.</w:t>
      </w:r>
    </w:p>
    <w:p w:rsidR="00E03DE2" w:rsidRPr="00E03DE2" w:rsidRDefault="00E03DE2" w:rsidP="00E03DE2">
      <w:pPr>
        <w:pStyle w:val="NormalWeb"/>
        <w:jc w:val="both"/>
        <w:rPr>
          <w:rFonts w:ascii="Arial" w:hAnsi="Arial" w:cs="Arial"/>
        </w:rPr>
      </w:pPr>
      <w:r w:rsidRPr="00E03DE2">
        <w:rPr>
          <w:rFonts w:ascii="Arial" w:hAnsi="Arial" w:cs="Arial"/>
        </w:rPr>
        <w:t xml:space="preserve">     It is proposed to amend sub-section (4C) of section 139 so as to provide that Mutual Fund referred to in clause (23D) of section 10, securitization trust referred to in clause </w:t>
      </w:r>
      <w:r w:rsidRPr="00E03DE2">
        <w:rPr>
          <w:rFonts w:ascii="Arial" w:hAnsi="Arial" w:cs="Arial"/>
        </w:rPr>
        <w:lastRenderedPageBreak/>
        <w:t>(23DA) of section 10 and Venture Capital Company or Venture Capital Fund referred to in clause (23FB) of section 10 shall, if the total income in respect of which such fund, trust or company is assessable, without giving effect to the provisions of section 10, exceeds the maximum amount which is not chargeable to income-tax, furnish a return of such income of the previous year in the prescribed forms and verified in the prescribed manner and setting forth such other particulars as may be prescribed and all the provisions of the Act, so far as may be, apply as if it were a return required to be furnished under sub-section (1) of section 139.</w:t>
      </w:r>
    </w:p>
    <w:p w:rsidR="00E03DE2" w:rsidRPr="00E03DE2" w:rsidRDefault="00E03DE2" w:rsidP="00E03DE2">
      <w:pPr>
        <w:pStyle w:val="NormalWeb"/>
        <w:jc w:val="both"/>
        <w:rPr>
          <w:rFonts w:ascii="Arial" w:hAnsi="Arial" w:cs="Arial"/>
        </w:rPr>
      </w:pPr>
      <w:r w:rsidRPr="00E03DE2">
        <w:rPr>
          <w:rFonts w:ascii="Arial" w:hAnsi="Arial" w:cs="Arial"/>
        </w:rPr>
        <w:t xml:space="preserve">     Further, in the case of the Mutual Funds and </w:t>
      </w:r>
      <w:proofErr w:type="spellStart"/>
      <w:r w:rsidRPr="00E03DE2">
        <w:rPr>
          <w:rFonts w:ascii="Arial" w:hAnsi="Arial" w:cs="Arial"/>
        </w:rPr>
        <w:t>securitisation</w:t>
      </w:r>
      <w:proofErr w:type="spellEnd"/>
      <w:r w:rsidRPr="00E03DE2">
        <w:rPr>
          <w:rFonts w:ascii="Arial" w:hAnsi="Arial" w:cs="Arial"/>
        </w:rPr>
        <w:t xml:space="preserve"> trusts referred to above, the requirement of filing of statements before an income-tax authority is proposed to be dispensed with by omitting sub-section (3A) of section 115R and sub-section (3) of section 115TA.</w:t>
      </w:r>
    </w:p>
    <w:p w:rsidR="00E03DE2" w:rsidRPr="00E03DE2" w:rsidRDefault="00E03DE2" w:rsidP="00E03DE2">
      <w:pPr>
        <w:pStyle w:val="NormalWeb"/>
        <w:jc w:val="both"/>
        <w:rPr>
          <w:rFonts w:ascii="Arial" w:hAnsi="Arial" w:cs="Arial"/>
        </w:rPr>
      </w:pPr>
      <w:r w:rsidRPr="00E03DE2">
        <w:rPr>
          <w:rFonts w:ascii="Arial" w:hAnsi="Arial" w:cs="Arial"/>
        </w:rPr>
        <w:t>     These amendments will take effect from 1st April, 2015.</w:t>
      </w:r>
    </w:p>
    <w:p w:rsidR="00E03DE2" w:rsidRPr="00E03DE2" w:rsidRDefault="00E03DE2" w:rsidP="00E03DE2">
      <w:pPr>
        <w:pBdr>
          <w:top w:val="single" w:sz="4" w:space="1" w:color="auto"/>
        </w:pBdr>
        <w:autoSpaceDE w:val="0"/>
        <w:autoSpaceDN w:val="0"/>
        <w:adjustRightInd w:val="0"/>
        <w:spacing w:after="0" w:line="240" w:lineRule="auto"/>
        <w:jc w:val="both"/>
        <w:rPr>
          <w:rFonts w:ascii="Arial" w:hAnsi="Arial" w:cs="Arial"/>
          <w:color w:val="231F20"/>
          <w:sz w:val="24"/>
          <w:szCs w:val="24"/>
        </w:rPr>
      </w:pPr>
    </w:p>
    <w:sectPr w:rsidR="00E03DE2" w:rsidRPr="00E03DE2"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75662"/>
    <w:multiLevelType w:val="hybridMultilevel"/>
    <w:tmpl w:val="DE7E1BD2"/>
    <w:lvl w:ilvl="0" w:tplc="0409001B">
      <w:start w:val="1"/>
      <w:numFmt w:val="lowerRoman"/>
      <w:lvlText w:val="%1."/>
      <w:lvlJc w:val="righ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
    <w:nsid w:val="442635D0"/>
    <w:multiLevelType w:val="hybridMultilevel"/>
    <w:tmpl w:val="C426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8F5B21"/>
    <w:multiLevelType w:val="hybridMultilevel"/>
    <w:tmpl w:val="DE7E1BD2"/>
    <w:lvl w:ilvl="0" w:tplc="0409001B">
      <w:start w:val="1"/>
      <w:numFmt w:val="lowerRoman"/>
      <w:lvlText w:val="%1."/>
      <w:lvlJc w:val="righ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5B49E4"/>
    <w:rsid w:val="000564BC"/>
    <w:rsid w:val="005015BD"/>
    <w:rsid w:val="005B49E4"/>
    <w:rsid w:val="00E03D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9E4"/>
    <w:pPr>
      <w:ind w:left="720"/>
      <w:contextualSpacing/>
    </w:pPr>
  </w:style>
  <w:style w:type="paragraph" w:styleId="NormalWeb">
    <w:name w:val="Normal (Web)"/>
    <w:basedOn w:val="Normal"/>
    <w:uiPriority w:val="99"/>
    <w:semiHidden/>
    <w:unhideWhenUsed/>
    <w:rsid w:val="00E03D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03DE2"/>
    <w:rPr>
      <w:b/>
      <w:bCs/>
    </w:rPr>
  </w:style>
</w:styles>
</file>

<file path=word/webSettings.xml><?xml version="1.0" encoding="utf-8"?>
<w:webSettings xmlns:r="http://schemas.openxmlformats.org/officeDocument/2006/relationships" xmlns:w="http://schemas.openxmlformats.org/wordprocessingml/2006/main">
  <w:divs>
    <w:div w:id="143090434">
      <w:bodyDiv w:val="1"/>
      <w:marLeft w:val="0"/>
      <w:marRight w:val="0"/>
      <w:marTop w:val="0"/>
      <w:marBottom w:val="0"/>
      <w:divBdr>
        <w:top w:val="none" w:sz="0" w:space="0" w:color="auto"/>
        <w:left w:val="none" w:sz="0" w:space="0" w:color="auto"/>
        <w:bottom w:val="none" w:sz="0" w:space="0" w:color="auto"/>
        <w:right w:val="none" w:sz="0" w:space="0" w:color="auto"/>
      </w:divBdr>
    </w:div>
    <w:div w:id="267201467">
      <w:bodyDiv w:val="1"/>
      <w:marLeft w:val="0"/>
      <w:marRight w:val="0"/>
      <w:marTop w:val="0"/>
      <w:marBottom w:val="0"/>
      <w:divBdr>
        <w:top w:val="none" w:sz="0" w:space="0" w:color="auto"/>
        <w:left w:val="none" w:sz="0" w:space="0" w:color="auto"/>
        <w:bottom w:val="none" w:sz="0" w:space="0" w:color="auto"/>
        <w:right w:val="none" w:sz="0" w:space="0" w:color="auto"/>
      </w:divBdr>
    </w:div>
    <w:div w:id="815612101">
      <w:bodyDiv w:val="1"/>
      <w:marLeft w:val="0"/>
      <w:marRight w:val="0"/>
      <w:marTop w:val="0"/>
      <w:marBottom w:val="0"/>
      <w:divBdr>
        <w:top w:val="none" w:sz="0" w:space="0" w:color="auto"/>
        <w:left w:val="none" w:sz="0" w:space="0" w:color="auto"/>
        <w:bottom w:val="none" w:sz="0" w:space="0" w:color="auto"/>
        <w:right w:val="none" w:sz="0" w:space="0" w:color="auto"/>
      </w:divBdr>
    </w:div>
    <w:div w:id="1810980150">
      <w:bodyDiv w:val="1"/>
      <w:marLeft w:val="0"/>
      <w:marRight w:val="0"/>
      <w:marTop w:val="0"/>
      <w:marBottom w:val="0"/>
      <w:divBdr>
        <w:top w:val="none" w:sz="0" w:space="0" w:color="auto"/>
        <w:left w:val="none" w:sz="0" w:space="0" w:color="auto"/>
        <w:bottom w:val="none" w:sz="0" w:space="0" w:color="auto"/>
        <w:right w:val="none" w:sz="0" w:space="0" w:color="auto"/>
      </w:divBdr>
    </w:div>
    <w:div w:id="1907689921">
      <w:bodyDiv w:val="1"/>
      <w:marLeft w:val="0"/>
      <w:marRight w:val="0"/>
      <w:marTop w:val="0"/>
      <w:marBottom w:val="0"/>
      <w:divBdr>
        <w:top w:val="none" w:sz="0" w:space="0" w:color="auto"/>
        <w:left w:val="none" w:sz="0" w:space="0" w:color="auto"/>
        <w:bottom w:val="none" w:sz="0" w:space="0" w:color="auto"/>
        <w:right w:val="none" w:sz="0" w:space="0" w:color="auto"/>
      </w:divBdr>
    </w:div>
    <w:div w:id="1909606927">
      <w:bodyDiv w:val="1"/>
      <w:marLeft w:val="0"/>
      <w:marRight w:val="0"/>
      <w:marTop w:val="0"/>
      <w:marBottom w:val="0"/>
      <w:divBdr>
        <w:top w:val="none" w:sz="0" w:space="0" w:color="auto"/>
        <w:left w:val="none" w:sz="0" w:space="0" w:color="auto"/>
        <w:bottom w:val="none" w:sz="0" w:space="0" w:color="auto"/>
        <w:right w:val="none" w:sz="0" w:space="0" w:color="auto"/>
      </w:divBdr>
    </w:div>
    <w:div w:id="2070376207">
      <w:bodyDiv w:val="1"/>
      <w:marLeft w:val="0"/>
      <w:marRight w:val="0"/>
      <w:marTop w:val="0"/>
      <w:marBottom w:val="0"/>
      <w:divBdr>
        <w:top w:val="none" w:sz="0" w:space="0" w:color="auto"/>
        <w:left w:val="none" w:sz="0" w:space="0" w:color="auto"/>
        <w:bottom w:val="none" w:sz="0" w:space="0" w:color="auto"/>
        <w:right w:val="none" w:sz="0" w:space="0" w:color="auto"/>
      </w:divBdr>
    </w:div>
    <w:div w:id="2141487083">
      <w:bodyDiv w:val="1"/>
      <w:marLeft w:val="0"/>
      <w:marRight w:val="0"/>
      <w:marTop w:val="0"/>
      <w:marBottom w:val="0"/>
      <w:divBdr>
        <w:top w:val="none" w:sz="0" w:space="0" w:color="auto"/>
        <w:left w:val="none" w:sz="0" w:space="0" w:color="auto"/>
        <w:bottom w:val="none" w:sz="0" w:space="0" w:color="auto"/>
        <w:right w:val="none" w:sz="0" w:space="0" w:color="auto"/>
      </w:divBdr>
    </w:div>
    <w:div w:id="214396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580</Words>
  <Characters>3306</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2</cp:revision>
  <dcterms:created xsi:type="dcterms:W3CDTF">2014-07-16T08:49:00Z</dcterms:created>
  <dcterms:modified xsi:type="dcterms:W3CDTF">2014-07-16T10:20:00Z</dcterms:modified>
</cp:coreProperties>
</file>